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0A70854E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BA08AB">
        <w:rPr>
          <w:rFonts w:ascii="Arial" w:hAnsi="Arial"/>
          <w:b/>
          <w:color w:val="000000"/>
        </w:rPr>
        <w:t>c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3F92704C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CF1932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018F1575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>cz. I</w:t>
      </w:r>
      <w:r w:rsidR="007F1A96">
        <w:rPr>
          <w:rFonts w:ascii="Arial" w:hAnsi="Arial" w:cs="Arial"/>
          <w:bCs/>
          <w:color w:val="auto"/>
        </w:rPr>
        <w:t>I</w:t>
      </w:r>
      <w:r w:rsidR="0035661E">
        <w:rPr>
          <w:rFonts w:ascii="Arial" w:hAnsi="Arial" w:cs="Arial"/>
          <w:bCs/>
          <w:color w:val="auto"/>
        </w:rPr>
        <w:t>I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35661E" w:rsidRPr="0035661E">
        <w:rPr>
          <w:rFonts w:ascii="Arial" w:hAnsi="Arial" w:cs="Arial"/>
          <w:b/>
          <w:color w:val="auto"/>
        </w:rPr>
        <w:t>Przeprowadzenie szkolenia z obsługi wózków jezdniowych, podnośnikowych z bezpieczną wymianą butli gazowych w roku szkolnym 2025/2026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124DBDE0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 xml:space="preserve">Zamawiający zleca, </w:t>
      </w:r>
      <w:r w:rsidR="00B2193F" w:rsidRPr="00B2193F">
        <w:rPr>
          <w:rFonts w:ascii="Arial" w:hAnsi="Arial"/>
        </w:rPr>
        <w:t>a Wykonawca zobowiązuje się do wykonania zadania polegającego na przeprowadzeniu szkolenia z obsługi wózków jezdniowych podnośnikowych z bezpieczną wymianą butli gazowych celem przygotowania uczniów do praktycznego i teoretycznego egzaminu państwowego przeprowadzonego na zasadach określonych przez Urząd Dozoru Technicznego w zakresie uzyskania uprawnień do obsługi wózków widłowych. Należy przeprowadzić szkolenie dla 15 uczniów z Zespołu Szkół w Mogilnie oraz dla 10 uczniów z Zespołu Szkół w Strzelnie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1C5D4BF8" w14:textId="49C5A937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organizacja i pokrycie kosztów wymaganych badań lekarskich uczniów</w:t>
      </w:r>
      <w:r>
        <w:rPr>
          <w:rFonts w:ascii="Arial" w:hAnsi="Arial" w:cs="Arial"/>
        </w:rPr>
        <w:t>,</w:t>
      </w:r>
    </w:p>
    <w:p w14:paraId="0C3231CA" w14:textId="3EF984D6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zapewnienie sal do zajęć teoretycznych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234336A" w:rsidR="00C831D1" w:rsidRDefault="001D7707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>przeprowadzenia zajęć teoretycznych i praktycznych, według aktualnie obowiązujących przepisów prawa</w:t>
      </w:r>
      <w:r w:rsidR="005D4527">
        <w:rPr>
          <w:rFonts w:ascii="Arial" w:hAnsi="Arial" w:cs="Arial"/>
          <w:color w:val="auto"/>
        </w:rPr>
        <w:t>,</w:t>
      </w:r>
      <w:r w:rsidR="00B2193F" w:rsidRPr="00B2193F">
        <w:rPr>
          <w:rFonts w:ascii="Arial" w:eastAsia="NSimSun" w:hAnsi="Arial" w:cs="Arial"/>
          <w:color w:val="auto"/>
          <w:lang w:bidi="hi-IN"/>
        </w:rPr>
        <w:t xml:space="preserve"> </w:t>
      </w:r>
      <w:r w:rsidR="00B2193F" w:rsidRPr="00B2193F">
        <w:rPr>
          <w:rFonts w:ascii="Arial" w:hAnsi="Arial" w:cs="Arial"/>
          <w:color w:val="auto"/>
        </w:rPr>
        <w:t>program szkolenia określony przez UDT</w:t>
      </w:r>
      <w:r w:rsidR="00B2193F">
        <w:rPr>
          <w:rFonts w:ascii="Arial" w:hAnsi="Arial" w:cs="Arial"/>
          <w:color w:val="auto"/>
        </w:rPr>
        <w:t>,</w:t>
      </w:r>
    </w:p>
    <w:p w14:paraId="4F468DCE" w14:textId="2DCD1625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lastRenderedPageBreak/>
        <w:t>posiadanie niezbędnej wiedzy i doświadczenia oraz potencjału osobowego zdolnego do wykonania zamówienia</w:t>
      </w:r>
      <w:r>
        <w:rPr>
          <w:rFonts w:ascii="Arial" w:hAnsi="Arial" w:cs="Arial"/>
          <w:color w:val="auto"/>
        </w:rPr>
        <w:t>,</w:t>
      </w:r>
    </w:p>
    <w:p w14:paraId="002B78FD" w14:textId="52A989D2" w:rsidR="00B2193F" w:rsidRDefault="00B2193F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2193F">
        <w:rPr>
          <w:rFonts w:ascii="Arial" w:hAnsi="Arial" w:cs="Arial"/>
          <w:color w:val="auto"/>
        </w:rPr>
        <w:t>zapewnienia odpowiedniego wyposażenia technicznego, narzędzi i sprzętów oraz warunków do realizacji zajęć dla należytego wykonania zamówienia zgodnie z obowiązującymi przepisami prawa</w:t>
      </w:r>
      <w:r>
        <w:rPr>
          <w:rFonts w:ascii="Arial" w:hAnsi="Arial" w:cs="Arial"/>
          <w:color w:val="auto"/>
        </w:rPr>
        <w:t>,</w:t>
      </w:r>
    </w:p>
    <w:p w14:paraId="0A731E7F" w14:textId="3EEF0A09" w:rsidR="00C831D1" w:rsidRPr="00B2193F" w:rsidRDefault="001D7707" w:rsidP="00B2193F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 xml:space="preserve">przeprowadzenia </w:t>
      </w:r>
      <w:r w:rsidR="00B2193F" w:rsidRPr="00B2193F">
        <w:rPr>
          <w:rFonts w:ascii="Arial" w:hAnsi="Arial" w:cs="Arial"/>
          <w:color w:val="auto"/>
        </w:rPr>
        <w:t>zajęć teoretycznych w miejscu wskazanym przez Zamawiającego: na terenie Zespołu Szkół w Mogilnie dla uczniów ZS Mogilno oraz na terenie Zespołu Szkół w Strzelnie dla uczniów ZS Strzelno</w:t>
      </w:r>
      <w:r w:rsidR="005D4527">
        <w:rPr>
          <w:rFonts w:ascii="Arial" w:hAnsi="Arial" w:cs="Arial"/>
          <w:color w:val="auto"/>
        </w:rPr>
        <w:t>,</w:t>
      </w:r>
    </w:p>
    <w:p w14:paraId="7D659D30" w14:textId="3E30330E" w:rsidR="00C831D1" w:rsidRDefault="004C508A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4C508A">
        <w:rPr>
          <w:rFonts w:ascii="Arial" w:hAnsi="Arial" w:cs="Arial"/>
        </w:rPr>
        <w:t xml:space="preserve">zapewnienia </w:t>
      </w:r>
      <w:r w:rsidR="00B2193F" w:rsidRPr="00B2193F">
        <w:rPr>
          <w:rFonts w:ascii="Arial" w:hAnsi="Arial" w:cs="Arial"/>
        </w:rPr>
        <w:t>miejsca ćwiczeniowego dla realizacji zajęć praktycznych. Zamawiający wymaga, aby zajęcia praktyczne, odbywały się (ze względów organizacyjnych i bezpieczeństwa) na terenie miejscowości, w której siedzibę ma szkoła, której uczniowie uczestniczą w zajęciach. W innym przypadku Wykonawca zobowiązuje się do zorganizowania pełnego transportu w jedną i drugą stronę dla uczestników szkolenia na zajęcia. Zajęcia nie mogą odbywać się dalej niż 30 km od placówki, z</w:t>
      </w:r>
      <w:r w:rsidR="00B2193F">
        <w:rPr>
          <w:rFonts w:ascii="Arial" w:hAnsi="Arial" w:cs="Arial"/>
        </w:rPr>
        <w:t> </w:t>
      </w:r>
      <w:r w:rsidR="00B2193F" w:rsidRPr="00B2193F">
        <w:rPr>
          <w:rFonts w:ascii="Arial" w:hAnsi="Arial" w:cs="Arial"/>
        </w:rPr>
        <w:t>której odbierani są uczniowie</w:t>
      </w:r>
      <w:r w:rsidR="005D4527">
        <w:rPr>
          <w:rFonts w:ascii="Arial" w:hAnsi="Arial" w:cs="Arial"/>
        </w:rPr>
        <w:t>,</w:t>
      </w:r>
    </w:p>
    <w:p w14:paraId="0DD9F2AC" w14:textId="76278773" w:rsidR="00C831D1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 xml:space="preserve">zapewnienia </w:t>
      </w:r>
      <w:r w:rsidR="00B2193F" w:rsidRPr="00B2193F">
        <w:rPr>
          <w:rFonts w:ascii="Arial" w:hAnsi="Arial" w:cs="Arial"/>
          <w:color w:val="auto"/>
        </w:rPr>
        <w:t>miejsca odbywania egzaminu na terenie miejscowości, w której siedzibę ma szkoła, której uczniowie uczestniczą w egzaminie. W przypadku egzaminu, którego specyfika wymaga odbycia egzaminu poza wskazanym terenem, Wykonawca zobowiązuje się do zorganizowania pełnego transportu w jedną i drugą stronę dla uczestników</w:t>
      </w:r>
      <w:r w:rsidR="005D4527">
        <w:rPr>
          <w:rFonts w:ascii="Arial" w:hAnsi="Arial" w:cs="Arial"/>
          <w:color w:val="auto"/>
        </w:rPr>
        <w:t>,</w:t>
      </w:r>
    </w:p>
    <w:p w14:paraId="7D3F6F92" w14:textId="63B19706" w:rsidR="00C831D1" w:rsidRPr="004C508A" w:rsidRDefault="00047BB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>opracowania harmonogramu zajęć teoretycznych i praktycznych według godzin przydzielonych dla poszczególnych szkół z uwzględnieniem, iż przez godzinę dydaktyczno-teoretyczną rozumie się godzinę lekcyjną (45 minut)</w:t>
      </w:r>
      <w:r w:rsidR="006F4592">
        <w:rPr>
          <w:rFonts w:ascii="Arial" w:hAnsi="Arial" w:cs="Arial"/>
          <w:color w:val="auto"/>
        </w:rPr>
        <w:t>,</w:t>
      </w:r>
      <w:r w:rsidRPr="00047BB1">
        <w:rPr>
          <w:rFonts w:ascii="Arial" w:hAnsi="Arial" w:cs="Arial"/>
          <w:color w:val="auto"/>
        </w:rPr>
        <w:t xml:space="preserve"> za godzinę praktyczną rozumie się godzinę zegarową (60 minut). Wykonawca zapewni, co najmniej 1 przerwę trwającą 15 minut (dowolnie rozplanowaną). Opracowane harmonogramy wykonawca zobowiązuje się przekazać do </w:t>
      </w:r>
      <w:r w:rsidR="006F4592">
        <w:rPr>
          <w:rFonts w:ascii="Arial" w:hAnsi="Arial" w:cs="Arial"/>
          <w:color w:val="auto"/>
        </w:rPr>
        <w:t>Z</w:t>
      </w:r>
      <w:r w:rsidRPr="00047BB1">
        <w:rPr>
          <w:rFonts w:ascii="Arial" w:hAnsi="Arial" w:cs="Arial"/>
          <w:color w:val="auto"/>
        </w:rPr>
        <w:t>amawiającego do akceptacji. Uzgodnione harmonogramy zajęć teoretycznych i praktycznych Wykonawca niezwłocznie przekaże Zamawiającemu w formie pisemnej i elektronicznej</w:t>
      </w:r>
      <w:r>
        <w:rPr>
          <w:rFonts w:ascii="Arial" w:hAnsi="Arial" w:cs="Arial"/>
          <w:color w:val="auto"/>
        </w:rPr>
        <w:t>,</w:t>
      </w:r>
    </w:p>
    <w:p w14:paraId="05A831FF" w14:textId="2EFBAA75" w:rsidR="00C831D1" w:rsidRPr="004C508A" w:rsidRDefault="00047BB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 xml:space="preserve">ustalenia </w:t>
      </w:r>
      <w:r w:rsidRPr="00047BB1">
        <w:rPr>
          <w:rFonts w:ascii="Arial" w:hAnsi="Arial" w:cs="Arial"/>
          <w:color w:val="auto"/>
        </w:rPr>
        <w:t>terminów realizacji zajęć teoretycznych i praktycznych w uzgodnieniu z uczestnikami, aby nie kolidowały one z planem obowiązkowych zajęć szkolnych uczniów. W przypadku zajęć teoretycznych terminy te dodatkowo Wykonawca uzgodni z Dyrektorami szkół, w których będą odbywać się zajęcia/szkolenie</w:t>
      </w:r>
      <w:r w:rsidR="004C508A">
        <w:rPr>
          <w:rFonts w:ascii="Arial" w:hAnsi="Arial" w:cs="Arial"/>
          <w:color w:val="auto"/>
        </w:rPr>
        <w:t>,</w:t>
      </w:r>
    </w:p>
    <w:p w14:paraId="6AFBAA4C" w14:textId="07C705DA" w:rsid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047BB1">
        <w:rPr>
          <w:rFonts w:ascii="Arial" w:hAnsi="Arial" w:cs="Arial"/>
          <w:color w:val="auto"/>
        </w:rPr>
        <w:t>zorganizowania i przeprowadzenia egzaminu uprawniającego do prowadzenia wózków widłowych zgodnie z obowiązującymi przepisami tj.: Rozporządzeniem Ministra Rozwoju i Finansów z dnia 15 grudnia 2017 r. w sprawie bezpieczeństwa i higieny pracy przy użytkowaniu wózków jezdniowych z napędem silnikowym (t.j. Dz. U. z 2020 r. poz. 852). Czas przeznaczony na egzamin nie będzie wliczony w czas szkolenia</w:t>
      </w:r>
      <w:r>
        <w:rPr>
          <w:rFonts w:ascii="Arial" w:hAnsi="Arial" w:cs="Arial"/>
          <w:color w:val="auto"/>
        </w:rPr>
        <w:t>,</w:t>
      </w:r>
    </w:p>
    <w:p w14:paraId="7ABEB531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pokrycia kosztów egzaminu dla każdego ucznia/uczestnika zajęć (tj. 25 osób),</w:t>
      </w:r>
    </w:p>
    <w:p w14:paraId="1A5F4FE1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bieżącego informowania Zamawiającego o przypadkach nieobecności uczestnika na zajęciach oraz w przypadku rezygnacji z uczestnictwa w zajęciach,</w:t>
      </w:r>
    </w:p>
    <w:p w14:paraId="20C8E104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odpowiedniej dokumentacji szkolenia, w szczególności dziennika zajęć i list obecności oraz pozostałej dokumentacji wymaganej zgodnie z przepisami właściwymi dla tego rodzaju zajęć</w:t>
      </w:r>
      <w:r w:rsidR="004627D4" w:rsidRPr="00B7260D">
        <w:rPr>
          <w:rFonts w:ascii="Arial" w:hAnsi="Arial" w:cs="Arial"/>
        </w:rPr>
        <w:t>,</w:t>
      </w:r>
    </w:p>
    <w:p w14:paraId="74A0DA1F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prowadzenia i przechowywania dokumentacji związanej z realizacją przedmiotu zamówienia w sposób zapewniający dostępność, poufność i bezpieczeństwo oraz do informowania Zamawiającego o miejscu archiwizacji dokumentów związanych z realizacją przedmiotu zamówienia oraz przekazania dokumentacji Zamawiającemu niezwłocznie po zakończeniu zajęć</w:t>
      </w:r>
      <w:r w:rsidR="004627D4" w:rsidRPr="00B7260D">
        <w:rPr>
          <w:rFonts w:ascii="Arial" w:hAnsi="Arial" w:cs="Arial"/>
        </w:rPr>
        <w:t>,</w:t>
      </w:r>
    </w:p>
    <w:p w14:paraId="774EFA47" w14:textId="77777777" w:rsidR="00B7260D" w:rsidRPr="00B7260D" w:rsidRDefault="00047BB1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badania uzyskiwania kwalifikacji w ramach projektów współfinansowanych z EFS+ zgodnie z Załącznikiem nr 2 do Wytycznych dotyczących monitorowania postępu rzeczowego realizacji programów na lata 2021-2027</w:t>
      </w:r>
      <w:r w:rsidR="004627D4" w:rsidRPr="00B7260D">
        <w:rPr>
          <w:rFonts w:ascii="Arial" w:hAnsi="Arial" w:cs="Arial"/>
        </w:rPr>
        <w:t>,</w:t>
      </w:r>
    </w:p>
    <w:p w14:paraId="1C37365E" w14:textId="77777777" w:rsidR="00B7260D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>przekazania uczestnikom szkolenia oryginałów zaświadczenia o ukończeniu szkolenia oraz zaświadczenia kwalifikacyjnego, a Zamawiającemu kopii tych dokumentów,</w:t>
      </w:r>
    </w:p>
    <w:p w14:paraId="59EEE0A9" w14:textId="4079D041" w:rsidR="004627D4" w:rsidRPr="00B7260D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B7260D">
        <w:rPr>
          <w:rFonts w:ascii="Arial" w:hAnsi="Arial" w:cs="Arial"/>
        </w:rPr>
        <w:t xml:space="preserve">przekazania Zamawiającemu dokumentów potwierdzających realizację całości lub </w:t>
      </w:r>
      <w:r w:rsidRPr="00B7260D">
        <w:rPr>
          <w:rFonts w:ascii="Arial" w:hAnsi="Arial" w:cs="Arial"/>
        </w:rPr>
        <w:lastRenderedPageBreak/>
        <w:t>części przedmiotu umowy tj.:</w:t>
      </w:r>
    </w:p>
    <w:p w14:paraId="60061615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dokumentacji przebiegu szkolenia/zajęć, w szczególności dziennika zajęć i list obecności oraz pozostałej dokumentacji wymaganej zgodnie z przepisami właściwymi dla tego rodzaju zajęć,</w:t>
      </w:r>
    </w:p>
    <w:p w14:paraId="13F7944D" w14:textId="77777777" w:rsid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raportu/dokumentu z egzaminu (zwierającego m.in. wykaz osób, które zaliczyły egzamin i otrzymały świadectwa),</w:t>
      </w:r>
    </w:p>
    <w:p w14:paraId="0B30BF46" w14:textId="051BBB92" w:rsidR="004627D4" w:rsidRPr="004627D4" w:rsidRDefault="004627D4" w:rsidP="00B7260D">
      <w:pPr>
        <w:pStyle w:val="Akapitzlist"/>
        <w:numPr>
          <w:ilvl w:val="0"/>
          <w:numId w:val="64"/>
        </w:numPr>
        <w:tabs>
          <w:tab w:val="left" w:pos="709"/>
        </w:tabs>
        <w:spacing w:line="360" w:lineRule="auto"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oryginałów zaświadczeń o ukończeniu szkolenia, zaświadczeń kwalifikacyjnych wydanych przez UDT uprawniające do obsługi wózków jezdniowych podnośnikowych z bezpieczną wymianą butli gazowych potwierdzających uzyskanie kwalifikacji w wersji kserokopii potwierdzonej za zgodność z oryginałem;</w:t>
      </w:r>
    </w:p>
    <w:p w14:paraId="5CBDB1AD" w14:textId="396DCF59" w:rsidR="004627D4" w:rsidRDefault="004627D4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4627D4">
        <w:rPr>
          <w:rFonts w:ascii="Arial" w:hAnsi="Arial" w:cs="Arial"/>
        </w:rPr>
        <w:t>poddania się kontroli i audytom w zakresie prawidłowości realizacji szkolenia, przeprowadzanym przez podmioty uprawnione do ich przeprowadzenia</w:t>
      </w:r>
      <w:r>
        <w:rPr>
          <w:rFonts w:ascii="Arial" w:hAnsi="Arial" w:cs="Arial"/>
        </w:rPr>
        <w:t>,</w:t>
      </w:r>
    </w:p>
    <w:p w14:paraId="4F393620" w14:textId="3FE8E2E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B7260D">
        <w:rPr>
          <w:rFonts w:ascii="Arial" w:hAnsi="Arial" w:cs="Arial"/>
        </w:rPr>
        <w:t>udostępnienia do wglądu Zamawiającemu oraz innym podmiotom upoważnionym do kontroli projektu wszystkich dokumentów związanych z realizacją przedmiotu zamówienia, w tym dokumentów elektronicznych, przez cały okres ich przechowywania</w:t>
      </w:r>
      <w:r>
        <w:rPr>
          <w:rFonts w:ascii="Arial" w:hAnsi="Arial" w:cs="Arial"/>
        </w:rPr>
        <w:t>,</w:t>
      </w:r>
    </w:p>
    <w:p w14:paraId="290ECDCC" w14:textId="19C92B13" w:rsidR="00B7260D" w:rsidRDefault="00B7260D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Pr="00B7260D">
        <w:rPr>
          <w:rFonts w:ascii="Arial" w:hAnsi="Arial" w:cs="Arial"/>
        </w:rPr>
        <w:t>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</w:rPr>
        <w:t>,</w:t>
      </w:r>
    </w:p>
    <w:p w14:paraId="19714070" w14:textId="6AC77B33" w:rsidR="00B7260D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 w:rsidRPr="002912A7">
        <w:rPr>
          <w:rFonts w:ascii="Arial" w:hAnsi="Arial" w:cs="Arial"/>
        </w:rPr>
        <w:t>informowania uczestników o współfinansowaniu szkolenia ze środków Unii Europejskiej w ramach Europejskiego Funduszu Społecznego Plus oraz  we wszystkich dokumentach i materiałach umieszczenia w widoczny sposób znaku Funduszy Europejskich, znaku barw Rzeczypospolitej Polskiej, znaku Unii Europejskiej oraz znaku Województwa Kujawsko-Pomorskiego</w:t>
      </w:r>
      <w:r>
        <w:rPr>
          <w:rFonts w:ascii="Arial" w:hAnsi="Arial" w:cs="Arial"/>
        </w:rPr>
        <w:t>,</w:t>
      </w:r>
    </w:p>
    <w:p w14:paraId="61B7328A" w14:textId="6DC47BE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zasady równości kobiet i mężczyzn oraz zasady równości szans i niedyskryminacji,</w:t>
      </w:r>
      <w:r>
        <w:rPr>
          <w:rFonts w:ascii="Arial" w:hAnsi="Arial" w:cs="Arial"/>
        </w:rPr>
        <w:t xml:space="preserve"> </w:t>
      </w:r>
      <w:r w:rsidRPr="002912A7">
        <w:rPr>
          <w:rFonts w:ascii="Arial" w:hAnsi="Arial" w:cs="Arial"/>
        </w:rPr>
        <w:t xml:space="preserve">w tym dostępności dla osób z niepełnosprawnościami, standardów dostępności (zał. do Wytycznych dot. realizowania zasad </w:t>
      </w:r>
      <w:r w:rsidRPr="002912A7">
        <w:rPr>
          <w:rFonts w:ascii="Arial" w:hAnsi="Arial" w:cs="Arial"/>
        </w:rPr>
        <w:lastRenderedPageBreak/>
        <w:t>równościowych w ramach funduszy unijnych na lata 2021-2027) oraz zasady zrównoważonego rozwoju</w:t>
      </w:r>
      <w:r>
        <w:rPr>
          <w:rFonts w:ascii="Arial" w:hAnsi="Arial" w:cs="Arial"/>
        </w:rPr>
        <w:t>,</w:t>
      </w:r>
    </w:p>
    <w:p w14:paraId="645D057A" w14:textId="5BFC02D6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</w:t>
      </w:r>
      <w:r w:rsidR="004F042D">
        <w:rPr>
          <w:rFonts w:ascii="Arial" w:hAnsi="Arial" w:cs="Arial"/>
        </w:rPr>
        <w:t xml:space="preserve"> </w:t>
      </w:r>
      <w:r w:rsidR="004F042D" w:rsidRPr="004F042D">
        <w:rPr>
          <w:rFonts w:ascii="Arial" w:hAnsi="Arial" w:cs="Arial"/>
        </w:rPr>
        <w:t>z późn. zm.</w:t>
      </w:r>
      <w:r w:rsidRPr="002912A7">
        <w:rPr>
          <w:rFonts w:ascii="Arial" w:hAnsi="Arial" w:cs="Arial"/>
        </w:rPr>
        <w:t>), lub za odpowiadające ty</w:t>
      </w:r>
      <w:r w:rsidR="00E4700F">
        <w:rPr>
          <w:rFonts w:ascii="Arial" w:hAnsi="Arial" w:cs="Arial"/>
        </w:rPr>
        <w:t>m</w:t>
      </w:r>
      <w:r w:rsidRPr="002912A7">
        <w:rPr>
          <w:rFonts w:ascii="Arial" w:hAnsi="Arial" w:cs="Arial"/>
        </w:rPr>
        <w:t xml:space="preserve"> przestępstwom czyny zabronione określone w przepisach prawa obcego,</w:t>
      </w:r>
    </w:p>
    <w:p w14:paraId="70E7128B" w14:textId="1930AA10" w:rsidR="002912A7" w:rsidRDefault="002912A7" w:rsidP="00B7260D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informację z rejestru karnego państwa</w:t>
      </w:r>
      <w:r w:rsidR="0064054E">
        <w:rPr>
          <w:rFonts w:ascii="Arial" w:hAnsi="Arial" w:cs="Arial"/>
        </w:rPr>
        <w:t>,</w:t>
      </w:r>
      <w:r w:rsidRPr="002912A7">
        <w:rPr>
          <w:rFonts w:ascii="Arial" w:hAnsi="Arial" w:cs="Arial"/>
        </w:rPr>
        <w:t xml:space="preserve"> uzyskiwan</w:t>
      </w:r>
      <w:r w:rsidR="0064054E">
        <w:rPr>
          <w:rFonts w:ascii="Arial" w:hAnsi="Arial" w:cs="Arial"/>
        </w:rPr>
        <w:t>ej</w:t>
      </w:r>
      <w:r w:rsidRPr="002912A7">
        <w:rPr>
          <w:rFonts w:ascii="Arial" w:hAnsi="Arial" w:cs="Arial"/>
        </w:rPr>
        <w:t xml:space="preserve"> do celów działalności zawodowej lub wolontariackiej związanej z kontaktami z dziećmi dla instruktora/wykładowcy posiadającego obywatelstwo innego państwa niż Rzeczpospolita Polska</w:t>
      </w:r>
      <w:r>
        <w:rPr>
          <w:rFonts w:ascii="Arial" w:hAnsi="Arial" w:cs="Arial"/>
        </w:rPr>
        <w:t>,</w:t>
      </w:r>
    </w:p>
    <w:p w14:paraId="252F52A5" w14:textId="63F47009" w:rsid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rzedłożenia Zamawiającemu informacji z rejestrów karnych uzyskiwaną do celów działalności zawodowej lub wolontariackiej związanej z kontaktami z dziećmi dla każdego instruktora/wykładowcy zamieszkującego w ciągu ostatnich 20 lat, w państwie lub państwach innych niż Rzeczpospolita Polska i państwo obywatelstwa, uzyskaną z rejestrów karnych tych państw</w:t>
      </w:r>
      <w:r>
        <w:rPr>
          <w:rFonts w:ascii="Arial" w:hAnsi="Arial" w:cs="Arial"/>
        </w:rPr>
        <w:t>,</w:t>
      </w:r>
    </w:p>
    <w:p w14:paraId="120AD4C7" w14:textId="3724D001" w:rsidR="002912A7" w:rsidRPr="002912A7" w:rsidRDefault="002912A7" w:rsidP="002912A7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pacing w:line="360" w:lineRule="auto"/>
        <w:ind w:left="709"/>
        <w:contextualSpacing/>
        <w:jc w:val="left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912A7">
        <w:rPr>
          <w:rFonts w:ascii="Arial" w:hAnsi="Arial" w:cs="Arial"/>
        </w:rPr>
        <w:t>rzestrzegania standard</w:t>
      </w:r>
      <w:r w:rsidRPr="000819B1">
        <w:rPr>
          <w:rFonts w:ascii="Arial" w:hAnsi="Arial" w:cs="Arial"/>
        </w:rPr>
        <w:t>ó</w:t>
      </w:r>
      <w:r w:rsidRPr="002912A7">
        <w:rPr>
          <w:rFonts w:ascii="Arial" w:hAnsi="Arial" w:cs="Arial"/>
        </w:rPr>
        <w:t>w ochrony małoletnich obowiązujących w szkole.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 …….………………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(słownie:……......................................................................................….złotych …./100).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9FEDF83" w14:textId="30931100" w:rsidR="00B20905" w:rsidRDefault="00B20905" w:rsidP="00332D65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7B4929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Podpisany </w:t>
      </w:r>
      <w:r w:rsidR="007B4929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04177957" w14:textId="032C2676" w:rsidR="00C831D1" w:rsidRDefault="005D4527" w:rsidP="00332D65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Wykonawca </w:t>
      </w:r>
      <w:r w:rsidR="007B4929">
        <w:rPr>
          <w:rFonts w:ascii="Arial" w:hAnsi="Arial"/>
          <w:color w:val="000000"/>
        </w:rPr>
        <w:t>jest zobowiązany do wystawienia faktury VAT w ciągu trzech dni od podpisania protokołu odbioru usługi lub części usługi</w:t>
      </w:r>
      <w:r>
        <w:rPr>
          <w:rFonts w:ascii="Arial" w:hAnsi="Arial"/>
          <w:color w:val="000000"/>
        </w:rPr>
        <w:t>.</w:t>
      </w:r>
    </w:p>
    <w:p w14:paraId="1396BF7F" w14:textId="5487158E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361)(jeżeli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lastRenderedPageBreak/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7525A795" w14:textId="77777777" w:rsidR="000819B1" w:rsidRDefault="005D4527" w:rsidP="000819B1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Brak zgodnego z prawdą oświadczenia o którym mowa w ust. </w:t>
      </w:r>
      <w:r w:rsidR="007D039E">
        <w:rPr>
          <w:rFonts w:ascii="Arial" w:hAnsi="Arial"/>
          <w:color w:val="000000"/>
        </w:rPr>
        <w:t>13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761E920E" w14:textId="15766FC3" w:rsidR="000819B1" w:rsidRPr="007B4929" w:rsidRDefault="000819B1" w:rsidP="007B4929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eastAsia="Arial Unicode MS" w:hAnsi="Arial" w:cs="Arial"/>
        </w:rPr>
      </w:pPr>
      <w:r w:rsidRPr="000819B1">
        <w:rPr>
          <w:rFonts w:ascii="Arial" w:eastAsia="Arial Unicode MS" w:hAnsi="Arial" w:cs="Arial"/>
          <w:color w:val="auto"/>
        </w:rPr>
        <w:t>Od</w:t>
      </w:r>
      <w:r w:rsidR="007B4929">
        <w:rPr>
          <w:rFonts w:ascii="Arial" w:eastAsia="Arial Unicode MS" w:hAnsi="Arial" w:cs="Arial"/>
          <w:color w:val="auto"/>
        </w:rPr>
        <w:t xml:space="preserve"> </w:t>
      </w:r>
      <w:r w:rsidR="007B4929" w:rsidRPr="00E10511">
        <w:rPr>
          <w:rFonts w:ascii="Arial" w:eastAsia="Arial Unicode MS" w:hAnsi="Arial" w:cs="Arial"/>
          <w:color w:val="auto"/>
        </w:rPr>
        <w:t>dnia</w:t>
      </w:r>
      <w:r w:rsidR="007B4929">
        <w:rPr>
          <w:rFonts w:ascii="Arial" w:eastAsia="Arial Unicode MS" w:hAnsi="Arial" w:cs="Arial"/>
        </w:rPr>
        <w:t xml:space="preserve"> </w:t>
      </w:r>
      <w:r w:rsidR="007B4929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„KSeF”), postanowienia umowy dotyczące warunków wystawienia faktur, zostaną zastąpione zapisami określającymi zasady doręczania faktur za pośrednictwem KSeF. Szczegółowe zapisy zostaną wprowadzone aneksem do umowy</w:t>
      </w:r>
      <w:r w:rsidRPr="007B4929">
        <w:rPr>
          <w:rFonts w:ascii="Arial" w:eastAsia="Arial Unicode MS" w:hAnsi="Arial" w:cs="Arial"/>
        </w:rPr>
        <w:t>.</w:t>
      </w:r>
    </w:p>
    <w:p w14:paraId="59B72D5D" w14:textId="24373CA7" w:rsidR="00C831D1" w:rsidRDefault="005D4527" w:rsidP="00332D65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</w:t>
      </w:r>
      <w:r>
        <w:rPr>
          <w:rFonts w:ascii="Arial" w:hAnsi="Arial"/>
          <w:color w:val="000000"/>
        </w:rPr>
        <w:lastRenderedPageBreak/>
        <w:t xml:space="preserve">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67CB8E81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FD521C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348EC133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>, wymaga zawiadomienia w formie pisemnej, nie powodując konieczności zmiany treści umowy. Konsekwencje uchybienia po</w:t>
      </w:r>
      <w:r>
        <w:rPr>
          <w:rFonts w:ascii="Arial" w:hAnsi="Arial" w:cs="Arial"/>
        </w:rPr>
        <w:lastRenderedPageBreak/>
        <w:t xml:space="preserve">wyższemu obowiązkowi obciążają stronę, która nie dopełniła formalności w tym zakresie. 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Zamawiający żąda, aby przed przystąpieniem do wykonania zamówienia wykonawca podał nazwy, dane kontaktowe oraz przedstawicieli, podwykonawców zaangażowanych w realizacje części zamówienia, jeżeli są już znani. Wykonawca </w:t>
      </w:r>
      <w:r>
        <w:rPr>
          <w:rFonts w:ascii="Arial" w:hAnsi="Arial"/>
          <w:color w:val="000000"/>
        </w:rPr>
        <w:lastRenderedPageBreak/>
        <w:t>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lastRenderedPageBreak/>
        <w:t>egzekucyjnym,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Odstąpienie od umowy powinno nastąpić w formie pisemnej pod rygorem nieważności </w:t>
      </w:r>
      <w:r>
        <w:rPr>
          <w:rFonts w:ascii="Arial" w:hAnsi="Arial"/>
          <w:color w:val="000000"/>
        </w:rPr>
        <w:lastRenderedPageBreak/>
        <w:t>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7777777" w:rsidR="00C831D1" w:rsidRDefault="005D4527" w:rsidP="00332D65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lastRenderedPageBreak/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 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  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 : ………………………………………………………..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6518C338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CF1932">
      <w:rPr>
        <w:lang w:val="en-US"/>
      </w:rPr>
      <w:t>2</w:t>
    </w:r>
    <w:r>
      <w:rPr>
        <w:lang w:val="en-US"/>
      </w:rPr>
      <w:t>.202</w:t>
    </w:r>
    <w:r w:rsidR="00CF1932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84616A3"/>
    <w:multiLevelType w:val="hybridMultilevel"/>
    <w:tmpl w:val="40464DC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4EE97718"/>
    <w:multiLevelType w:val="hybridMultilevel"/>
    <w:tmpl w:val="148819A0"/>
    <w:lvl w:ilvl="0" w:tplc="48D69736">
      <w:start w:val="1"/>
      <w:numFmt w:val="bullet"/>
      <w:suff w:val="space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1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7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6"/>
  </w:num>
  <w:num w:numId="2" w16cid:durableId="727848213">
    <w:abstractNumId w:val="22"/>
  </w:num>
  <w:num w:numId="3" w16cid:durableId="2101759259">
    <w:abstractNumId w:val="26"/>
  </w:num>
  <w:num w:numId="4" w16cid:durableId="783379537">
    <w:abstractNumId w:val="14"/>
  </w:num>
  <w:num w:numId="5" w16cid:durableId="1136026951">
    <w:abstractNumId w:val="7"/>
  </w:num>
  <w:num w:numId="6" w16cid:durableId="514996831">
    <w:abstractNumId w:val="3"/>
  </w:num>
  <w:num w:numId="7" w16cid:durableId="1483084480">
    <w:abstractNumId w:val="21"/>
  </w:num>
  <w:num w:numId="8" w16cid:durableId="461076086">
    <w:abstractNumId w:val="17"/>
  </w:num>
  <w:num w:numId="9" w16cid:durableId="771317340">
    <w:abstractNumId w:val="28"/>
  </w:num>
  <w:num w:numId="10" w16cid:durableId="1008874573">
    <w:abstractNumId w:val="25"/>
  </w:num>
  <w:num w:numId="11" w16cid:durableId="433794354">
    <w:abstractNumId w:val="27"/>
  </w:num>
  <w:num w:numId="12" w16cid:durableId="149366208">
    <w:abstractNumId w:val="12"/>
  </w:num>
  <w:num w:numId="13" w16cid:durableId="247810455">
    <w:abstractNumId w:val="4"/>
  </w:num>
  <w:num w:numId="14" w16cid:durableId="603850072">
    <w:abstractNumId w:val="19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4"/>
  </w:num>
  <w:num w:numId="18" w16cid:durableId="1922636140">
    <w:abstractNumId w:val="4"/>
  </w:num>
  <w:num w:numId="19" w16cid:durableId="576668279">
    <w:abstractNumId w:val="4"/>
  </w:num>
  <w:num w:numId="20" w16cid:durableId="108008806">
    <w:abstractNumId w:val="11"/>
    <w:lvlOverride w:ilvl="0">
      <w:startOverride w:val="1"/>
    </w:lvlOverride>
  </w:num>
  <w:num w:numId="21" w16cid:durableId="242765160">
    <w:abstractNumId w:val="11"/>
  </w:num>
  <w:num w:numId="22" w16cid:durableId="1133980386">
    <w:abstractNumId w:val="11"/>
  </w:num>
  <w:num w:numId="23" w16cid:durableId="1889029190">
    <w:abstractNumId w:val="11"/>
  </w:num>
  <w:num w:numId="24" w16cid:durableId="1361322591">
    <w:abstractNumId w:val="11"/>
  </w:num>
  <w:num w:numId="25" w16cid:durableId="1750231496">
    <w:abstractNumId w:val="11"/>
  </w:num>
  <w:num w:numId="26" w16cid:durableId="2071535452">
    <w:abstractNumId w:val="11"/>
  </w:num>
  <w:num w:numId="27" w16cid:durableId="2070493236">
    <w:abstractNumId w:val="11"/>
  </w:num>
  <w:num w:numId="28" w16cid:durableId="78985608">
    <w:abstractNumId w:val="11"/>
  </w:num>
  <w:num w:numId="29" w16cid:durableId="1138915099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1"/>
  </w:num>
  <w:num w:numId="31" w16cid:durableId="389694866">
    <w:abstractNumId w:val="11"/>
  </w:num>
  <w:num w:numId="32" w16cid:durableId="45588023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1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1"/>
  </w:num>
  <w:num w:numId="36" w16cid:durableId="1964268725">
    <w:abstractNumId w:val="18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8"/>
  </w:num>
  <w:num w:numId="41" w16cid:durableId="534467818">
    <w:abstractNumId w:val="18"/>
  </w:num>
  <w:num w:numId="42" w16cid:durableId="172842627">
    <w:abstractNumId w:val="18"/>
  </w:num>
  <w:num w:numId="43" w16cid:durableId="1748107655">
    <w:abstractNumId w:val="5"/>
    <w:lvlOverride w:ilvl="0">
      <w:startOverride w:val="1"/>
    </w:lvlOverride>
  </w:num>
  <w:num w:numId="44" w16cid:durableId="314459990">
    <w:abstractNumId w:val="5"/>
  </w:num>
  <w:num w:numId="45" w16cid:durableId="330959415">
    <w:abstractNumId w:val="5"/>
  </w:num>
  <w:num w:numId="46" w16cid:durableId="41293179">
    <w:abstractNumId w:val="5"/>
  </w:num>
  <w:num w:numId="47" w16cid:durableId="471560749">
    <w:abstractNumId w:val="10"/>
    <w:lvlOverride w:ilvl="0">
      <w:startOverride w:val="1"/>
    </w:lvlOverride>
  </w:num>
  <w:num w:numId="48" w16cid:durableId="379280788">
    <w:abstractNumId w:val="10"/>
  </w:num>
  <w:num w:numId="49" w16cid:durableId="1756321023">
    <w:abstractNumId w:val="10"/>
  </w:num>
  <w:num w:numId="50" w16cid:durableId="891118195">
    <w:abstractNumId w:val="10"/>
  </w:num>
  <w:num w:numId="51" w16cid:durableId="631401048">
    <w:abstractNumId w:val="10"/>
  </w:num>
  <w:num w:numId="52" w16cid:durableId="1080713058">
    <w:abstractNumId w:val="10"/>
  </w:num>
  <w:num w:numId="53" w16cid:durableId="2101944431">
    <w:abstractNumId w:val="9"/>
    <w:lvlOverride w:ilvl="0">
      <w:startOverride w:val="1"/>
    </w:lvlOverride>
  </w:num>
  <w:num w:numId="54" w16cid:durableId="2092849002">
    <w:abstractNumId w:val="9"/>
  </w:num>
  <w:num w:numId="55" w16cid:durableId="959607793">
    <w:abstractNumId w:val="9"/>
  </w:num>
  <w:num w:numId="56" w16cid:durableId="1747143181">
    <w:abstractNumId w:val="9"/>
  </w:num>
  <w:num w:numId="57" w16cid:durableId="1039277284">
    <w:abstractNumId w:val="9"/>
  </w:num>
  <w:num w:numId="58" w16cid:durableId="428697650">
    <w:abstractNumId w:val="9"/>
  </w:num>
  <w:num w:numId="59" w16cid:durableId="1118331505">
    <w:abstractNumId w:val="23"/>
  </w:num>
  <w:num w:numId="60" w16cid:durableId="456147190">
    <w:abstractNumId w:val="24"/>
  </w:num>
  <w:num w:numId="61" w16cid:durableId="1460220034">
    <w:abstractNumId w:val="13"/>
  </w:num>
  <w:num w:numId="62" w16cid:durableId="1312783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4865093">
    <w:abstractNumId w:val="20"/>
  </w:num>
  <w:num w:numId="64" w16cid:durableId="606541235">
    <w:abstractNumId w:val="15"/>
  </w:num>
  <w:num w:numId="65" w16cid:durableId="929699662">
    <w:abstractNumId w:val="6"/>
  </w:num>
  <w:num w:numId="66" w16cid:durableId="2087455728">
    <w:abstractNumId w:val="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47BB1"/>
    <w:rsid w:val="000819B1"/>
    <w:rsid w:val="000A4149"/>
    <w:rsid w:val="000D3E28"/>
    <w:rsid w:val="001A6016"/>
    <w:rsid w:val="001D7707"/>
    <w:rsid w:val="002912A7"/>
    <w:rsid w:val="002A6D8D"/>
    <w:rsid w:val="00332D65"/>
    <w:rsid w:val="0035661E"/>
    <w:rsid w:val="004627D4"/>
    <w:rsid w:val="004C508A"/>
    <w:rsid w:val="004F042D"/>
    <w:rsid w:val="005D4527"/>
    <w:rsid w:val="005E6481"/>
    <w:rsid w:val="005F0EF1"/>
    <w:rsid w:val="00605263"/>
    <w:rsid w:val="00630254"/>
    <w:rsid w:val="00630FF7"/>
    <w:rsid w:val="0064054E"/>
    <w:rsid w:val="0066040D"/>
    <w:rsid w:val="00662DE2"/>
    <w:rsid w:val="006B0D84"/>
    <w:rsid w:val="006F4592"/>
    <w:rsid w:val="0076192B"/>
    <w:rsid w:val="007B4929"/>
    <w:rsid w:val="007C0F95"/>
    <w:rsid w:val="007D039E"/>
    <w:rsid w:val="007F1A96"/>
    <w:rsid w:val="00840489"/>
    <w:rsid w:val="008838D7"/>
    <w:rsid w:val="00891E71"/>
    <w:rsid w:val="008E2B80"/>
    <w:rsid w:val="009249D7"/>
    <w:rsid w:val="00957120"/>
    <w:rsid w:val="009B626F"/>
    <w:rsid w:val="009C12C1"/>
    <w:rsid w:val="00A66072"/>
    <w:rsid w:val="00AD5451"/>
    <w:rsid w:val="00B20905"/>
    <w:rsid w:val="00B2193F"/>
    <w:rsid w:val="00B7260D"/>
    <w:rsid w:val="00BA08AB"/>
    <w:rsid w:val="00C45398"/>
    <w:rsid w:val="00C831D1"/>
    <w:rsid w:val="00C96E72"/>
    <w:rsid w:val="00CF1932"/>
    <w:rsid w:val="00D855E8"/>
    <w:rsid w:val="00E4700F"/>
    <w:rsid w:val="00E536B3"/>
    <w:rsid w:val="00F85C7A"/>
    <w:rsid w:val="00FD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17</Pages>
  <Words>3922</Words>
  <Characters>23533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10</cp:revision>
  <cp:lastPrinted>2023-07-07T08:52:00Z</cp:lastPrinted>
  <dcterms:created xsi:type="dcterms:W3CDTF">2025-10-08T05:46:00Z</dcterms:created>
  <dcterms:modified xsi:type="dcterms:W3CDTF">2026-01-09T10:06:00Z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